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18CF4" w14:textId="5DDF4A66" w:rsidR="00EC5D76" w:rsidRPr="004E6C24" w:rsidRDefault="0082789C" w:rsidP="00EC5D7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bookmarkStart w:id="0" w:name="_GoBack"/>
      <w:bookmarkEnd w:id="0"/>
      <w:r w:rsidR="00EC5D76" w:rsidRPr="004E6C24">
        <w:rPr>
          <w:b/>
          <w:bCs/>
          <w:szCs w:val="28"/>
        </w:rPr>
        <w:t>3.2 Паспорт комплекса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 города»</w:t>
      </w:r>
    </w:p>
    <w:p w14:paraId="12393733" w14:textId="77777777" w:rsidR="00EC5D76" w:rsidRPr="004E6C24" w:rsidRDefault="00EC5D76" w:rsidP="00EC5D76">
      <w:pPr>
        <w:jc w:val="center"/>
        <w:rPr>
          <w:szCs w:val="28"/>
        </w:rPr>
      </w:pPr>
    </w:p>
    <w:p w14:paraId="380748BD" w14:textId="77777777" w:rsidR="00EC5D76" w:rsidRPr="004E6C24" w:rsidRDefault="00EC5D76" w:rsidP="00EC5D76">
      <w:pPr>
        <w:pStyle w:val="a3"/>
        <w:widowControl w:val="0"/>
        <w:numPr>
          <w:ilvl w:val="0"/>
          <w:numId w:val="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>Основные положения</w:t>
      </w:r>
    </w:p>
    <w:p w14:paraId="0A7E50C2" w14:textId="77777777" w:rsidR="00EC5D76" w:rsidRPr="004E6C24" w:rsidRDefault="00EC5D76" w:rsidP="00EC5D76">
      <w:pPr>
        <w:jc w:val="center"/>
        <w:rPr>
          <w:sz w:val="20"/>
        </w:rPr>
      </w:pPr>
    </w:p>
    <w:tbl>
      <w:tblPr>
        <w:tblOverlap w:val="never"/>
        <w:tblW w:w="505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5"/>
        <w:gridCol w:w="10292"/>
      </w:tblGrid>
      <w:tr w:rsidR="00EC5D76" w:rsidRPr="004E6C24" w14:paraId="3D4137F6" w14:textId="77777777" w:rsidTr="00EC59EA">
        <w:trPr>
          <w:trHeight w:val="70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AECCAA4" w14:textId="77777777" w:rsidR="00EC5D76" w:rsidRPr="004E6C24" w:rsidRDefault="00EC5D76" w:rsidP="00EC59EA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Куратор комплекса процессных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926B6D7" w14:textId="77777777" w:rsidR="00EC5D76" w:rsidRPr="004E6C24" w:rsidRDefault="00EC5D76" w:rsidP="00EC59EA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Овчаренко Олег Иванович, </w:t>
            </w:r>
            <w:r>
              <w:rPr>
                <w:sz w:val="22"/>
                <w:szCs w:val="22"/>
                <w:lang w:eastAsia="en-US"/>
              </w:rPr>
              <w:t>З</w:t>
            </w:r>
            <w:r w:rsidRPr="004E6C24">
              <w:rPr>
                <w:sz w:val="22"/>
                <w:szCs w:val="22"/>
                <w:lang w:eastAsia="en-US"/>
              </w:rPr>
              <w:t>аместитель главы администрации города по обеспечению развития местного самоуправления</w:t>
            </w:r>
          </w:p>
        </w:tc>
      </w:tr>
      <w:tr w:rsidR="00EC5D76" w:rsidRPr="004E6C24" w14:paraId="3343C106" w14:textId="77777777" w:rsidTr="00EC59EA">
        <w:trPr>
          <w:trHeight w:val="68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A0CBAC0" w14:textId="77777777" w:rsidR="00EC5D76" w:rsidRPr="004E6C24" w:rsidRDefault="00EC5D76" w:rsidP="00EC59EA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Руководитель комплекса процессных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5651E2F" w14:textId="77777777" w:rsidR="00EC5D76" w:rsidRPr="004E6C24" w:rsidRDefault="00EC5D76" w:rsidP="00EC59EA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proofErr w:type="spellStart"/>
            <w:r w:rsidRPr="004E6C24">
              <w:rPr>
                <w:sz w:val="22"/>
                <w:szCs w:val="22"/>
                <w:lang w:eastAsia="en-US"/>
              </w:rPr>
              <w:t>Гайлеш</w:t>
            </w:r>
            <w:proofErr w:type="spellEnd"/>
            <w:r w:rsidRPr="004E6C24">
              <w:rPr>
                <w:sz w:val="22"/>
                <w:szCs w:val="22"/>
                <w:lang w:eastAsia="en-US"/>
              </w:rPr>
              <w:t xml:space="preserve"> Елена Юрьевна, начальник организационно-кадрового отдела Администрации города Свободного </w:t>
            </w:r>
          </w:p>
        </w:tc>
      </w:tr>
      <w:tr w:rsidR="00EC5D76" w:rsidRPr="004E6C24" w14:paraId="508BA768" w14:textId="77777777" w:rsidTr="00EC59EA">
        <w:trPr>
          <w:trHeight w:val="7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950D5C0" w14:textId="77777777" w:rsidR="00EC5D76" w:rsidRPr="004E6C24" w:rsidRDefault="00EC5D76" w:rsidP="00EC59EA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Связь с государственной (муниципальной) программой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50709" w14:textId="7938AE0A" w:rsidR="00EC5D76" w:rsidRPr="004E6C24" w:rsidRDefault="00EC5D76" w:rsidP="00EC59EA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«Поддержка социально-ориентированных некоммерческих организаций города Свободного»  </w:t>
            </w:r>
          </w:p>
        </w:tc>
      </w:tr>
    </w:tbl>
    <w:p w14:paraId="18A21108" w14:textId="77777777" w:rsidR="00EC5D76" w:rsidRPr="004E6C24" w:rsidRDefault="00EC5D76" w:rsidP="00EC5D76">
      <w:pPr>
        <w:pStyle w:val="a3"/>
        <w:jc w:val="center"/>
        <w:rPr>
          <w:rFonts w:eastAsia="Microsoft Sans Serif"/>
          <w:szCs w:val="28"/>
          <w:lang w:bidi="ru-RU"/>
        </w:rPr>
      </w:pPr>
    </w:p>
    <w:p w14:paraId="1C7427FD" w14:textId="77777777" w:rsidR="00EC5D76" w:rsidRPr="004E6C24" w:rsidRDefault="00EC5D76" w:rsidP="00EC5D76">
      <w:pPr>
        <w:pStyle w:val="a3"/>
        <w:widowControl w:val="0"/>
        <w:numPr>
          <w:ilvl w:val="0"/>
          <w:numId w:val="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>Показатели комплекса процессных мероприятий (отсутствуют)</w:t>
      </w:r>
    </w:p>
    <w:p w14:paraId="2F2EE4B6" w14:textId="77777777" w:rsidR="00EC5D76" w:rsidRPr="004E6C24" w:rsidRDefault="00EC5D76" w:rsidP="00EC5D76">
      <w:pPr>
        <w:pStyle w:val="a3"/>
        <w:jc w:val="center"/>
        <w:rPr>
          <w:b/>
          <w:bCs/>
          <w:szCs w:val="28"/>
        </w:rPr>
      </w:pPr>
    </w:p>
    <w:p w14:paraId="3508DEC1" w14:textId="77777777" w:rsidR="00EC5D76" w:rsidRPr="004E6C24" w:rsidRDefault="00EC5D76" w:rsidP="00EC5D76">
      <w:pPr>
        <w:pStyle w:val="a3"/>
        <w:widowControl w:val="0"/>
        <w:numPr>
          <w:ilvl w:val="0"/>
          <w:numId w:val="1"/>
        </w:numPr>
        <w:jc w:val="center"/>
        <w:rPr>
          <w:szCs w:val="28"/>
        </w:rPr>
      </w:pPr>
      <w:r w:rsidRPr="004E6C24">
        <w:rPr>
          <w:b/>
          <w:bCs/>
          <w:szCs w:val="28"/>
        </w:rPr>
        <w:t>План достижения показателей комплекса процессных мероприятий в 2025 году (отсутствует)</w:t>
      </w:r>
    </w:p>
    <w:p w14:paraId="30565447" w14:textId="77777777" w:rsidR="00EC5D76" w:rsidRPr="004E6C24" w:rsidRDefault="00EC5D76" w:rsidP="00EC5D76">
      <w:pPr>
        <w:jc w:val="center"/>
        <w:rPr>
          <w:sz w:val="20"/>
        </w:rPr>
      </w:pPr>
    </w:p>
    <w:p w14:paraId="6927FDFB" w14:textId="736C481F" w:rsidR="00FC346D" w:rsidRPr="00C8620F" w:rsidRDefault="00C8620F" w:rsidP="00C8620F">
      <w:pPr>
        <w:widowControl w:val="0"/>
        <w:rPr>
          <w:szCs w:val="28"/>
        </w:rPr>
      </w:pPr>
      <w:r>
        <w:rPr>
          <w:sz w:val="20"/>
        </w:rPr>
        <w:t xml:space="preserve">                                </w:t>
      </w:r>
      <w:r w:rsidR="00FC346D" w:rsidRPr="00C8620F">
        <w:rPr>
          <w:b/>
          <w:bCs/>
          <w:szCs w:val="28"/>
        </w:rPr>
        <w:t>3.1. План достижения показателей комплекса процессных мероприятий в 202</w:t>
      </w:r>
      <w:r w:rsidRPr="00C8620F">
        <w:rPr>
          <w:b/>
          <w:bCs/>
          <w:szCs w:val="28"/>
        </w:rPr>
        <w:t xml:space="preserve">6 </w:t>
      </w:r>
      <w:r w:rsidR="00FC346D" w:rsidRPr="00C8620F">
        <w:rPr>
          <w:b/>
          <w:bCs/>
          <w:szCs w:val="28"/>
        </w:rPr>
        <w:t>году (отсутствует)</w:t>
      </w:r>
    </w:p>
    <w:p w14:paraId="3E4770F5" w14:textId="77777777" w:rsidR="00FC346D" w:rsidRPr="004E6C24" w:rsidRDefault="00FC346D" w:rsidP="00FC346D">
      <w:pPr>
        <w:jc w:val="center"/>
        <w:rPr>
          <w:sz w:val="20"/>
        </w:rPr>
      </w:pPr>
    </w:p>
    <w:p w14:paraId="7AEBEA2D" w14:textId="1C17AF7F" w:rsidR="00EC5D76" w:rsidRDefault="00EC5D76" w:rsidP="00EC5D76">
      <w:pPr>
        <w:spacing w:after="160" w:line="256" w:lineRule="auto"/>
        <w:rPr>
          <w:sz w:val="20"/>
        </w:rPr>
      </w:pPr>
    </w:p>
    <w:p w14:paraId="53B453B5" w14:textId="47FC25EA" w:rsidR="00C8620F" w:rsidRDefault="00C8620F" w:rsidP="00EC5D76">
      <w:pPr>
        <w:spacing w:after="160" w:line="256" w:lineRule="auto"/>
        <w:rPr>
          <w:sz w:val="20"/>
        </w:rPr>
      </w:pPr>
    </w:p>
    <w:p w14:paraId="2F474FB6" w14:textId="5DC9BA74" w:rsidR="00C8620F" w:rsidRDefault="00C8620F" w:rsidP="00EC5D76">
      <w:pPr>
        <w:spacing w:after="160" w:line="256" w:lineRule="auto"/>
        <w:rPr>
          <w:sz w:val="20"/>
        </w:rPr>
      </w:pPr>
    </w:p>
    <w:p w14:paraId="1F02DCF8" w14:textId="4BE3CDFD" w:rsidR="00C8620F" w:rsidRDefault="00C8620F" w:rsidP="00EC5D76">
      <w:pPr>
        <w:spacing w:after="160" w:line="256" w:lineRule="auto"/>
        <w:rPr>
          <w:sz w:val="20"/>
        </w:rPr>
      </w:pPr>
    </w:p>
    <w:p w14:paraId="7D625014" w14:textId="3FA7020E" w:rsidR="00C8620F" w:rsidRDefault="00C8620F" w:rsidP="00EC5D76">
      <w:pPr>
        <w:spacing w:after="160" w:line="256" w:lineRule="auto"/>
        <w:rPr>
          <w:sz w:val="20"/>
        </w:rPr>
      </w:pPr>
    </w:p>
    <w:p w14:paraId="0506B76B" w14:textId="6DB73FA9" w:rsidR="00C8620F" w:rsidRDefault="00C8620F" w:rsidP="00EC5D76">
      <w:pPr>
        <w:spacing w:after="160" w:line="256" w:lineRule="auto"/>
        <w:rPr>
          <w:sz w:val="20"/>
        </w:rPr>
      </w:pPr>
    </w:p>
    <w:p w14:paraId="2A1234A6" w14:textId="177AA0B2" w:rsidR="00C8620F" w:rsidRDefault="00C8620F" w:rsidP="00EC5D76">
      <w:pPr>
        <w:spacing w:after="160" w:line="256" w:lineRule="auto"/>
        <w:rPr>
          <w:sz w:val="20"/>
        </w:rPr>
      </w:pPr>
    </w:p>
    <w:p w14:paraId="56737EB7" w14:textId="27D11935" w:rsidR="00C8620F" w:rsidRDefault="00C8620F" w:rsidP="00EC5D76">
      <w:pPr>
        <w:spacing w:after="160" w:line="256" w:lineRule="auto"/>
        <w:rPr>
          <w:sz w:val="20"/>
        </w:rPr>
      </w:pPr>
    </w:p>
    <w:p w14:paraId="1BC0E138" w14:textId="518CE873" w:rsidR="00C8620F" w:rsidRDefault="00C8620F" w:rsidP="00EC5D76">
      <w:pPr>
        <w:spacing w:after="160" w:line="256" w:lineRule="auto"/>
        <w:rPr>
          <w:sz w:val="20"/>
        </w:rPr>
      </w:pPr>
    </w:p>
    <w:p w14:paraId="25BE6C14" w14:textId="15450F1D" w:rsidR="00C8620F" w:rsidRDefault="00C8620F" w:rsidP="00EC5D76">
      <w:pPr>
        <w:spacing w:after="160" w:line="256" w:lineRule="auto"/>
        <w:rPr>
          <w:sz w:val="20"/>
        </w:rPr>
      </w:pPr>
    </w:p>
    <w:p w14:paraId="156188D4" w14:textId="59CAF6D2" w:rsidR="00C8620F" w:rsidRDefault="00C8620F" w:rsidP="00EC5D76">
      <w:pPr>
        <w:spacing w:after="160" w:line="256" w:lineRule="auto"/>
        <w:rPr>
          <w:sz w:val="20"/>
        </w:rPr>
      </w:pPr>
    </w:p>
    <w:p w14:paraId="5A6BACE8" w14:textId="77777777" w:rsidR="00C8620F" w:rsidRPr="004E6C24" w:rsidRDefault="00C8620F" w:rsidP="00EC5D76">
      <w:pPr>
        <w:spacing w:after="160" w:line="256" w:lineRule="auto"/>
        <w:rPr>
          <w:sz w:val="20"/>
        </w:rPr>
      </w:pPr>
    </w:p>
    <w:p w14:paraId="7228FC9E" w14:textId="77777777" w:rsidR="00B82488" w:rsidRDefault="00B82488">
      <w:pPr>
        <w:spacing w:after="160" w:line="259" w:lineRule="auto"/>
        <w:contextualSpacing w:val="0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14:paraId="4783BE01" w14:textId="108FA7E7" w:rsidR="00EC5D76" w:rsidRPr="004E6C24" w:rsidRDefault="00EC5D76" w:rsidP="00EC5D76">
      <w:pPr>
        <w:pStyle w:val="a3"/>
        <w:widowControl w:val="0"/>
        <w:numPr>
          <w:ilvl w:val="0"/>
          <w:numId w:val="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Перечень мероприятий (результатов) комплекса процессных мероприятий</w:t>
      </w:r>
    </w:p>
    <w:p w14:paraId="241CF75E" w14:textId="77777777" w:rsidR="00EC5D76" w:rsidRPr="004E6C24" w:rsidRDefault="00EC5D76" w:rsidP="00EC5D76">
      <w:pPr>
        <w:pStyle w:val="a3"/>
        <w:rPr>
          <w:sz w:val="20"/>
        </w:rPr>
      </w:pPr>
    </w:p>
    <w:tbl>
      <w:tblPr>
        <w:tblOverlap w:val="never"/>
        <w:tblW w:w="5073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2919"/>
        <w:gridCol w:w="1418"/>
        <w:gridCol w:w="4134"/>
        <w:gridCol w:w="964"/>
        <w:gridCol w:w="832"/>
        <w:gridCol w:w="43"/>
        <w:gridCol w:w="654"/>
        <w:gridCol w:w="700"/>
        <w:gridCol w:w="614"/>
        <w:gridCol w:w="488"/>
        <w:gridCol w:w="635"/>
        <w:gridCol w:w="623"/>
        <w:gridCol w:w="847"/>
      </w:tblGrid>
      <w:tr w:rsidR="00BD7332" w:rsidRPr="004E6C24" w14:paraId="38C0DB42" w14:textId="77777777" w:rsidTr="00BD7332">
        <w:trPr>
          <w:trHeight w:hRule="exact" w:val="368"/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64AA42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</w:t>
            </w:r>
          </w:p>
          <w:p w14:paraId="7888E95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п/п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6CF27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9EB83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Тип мероприятий (результата)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0EE36A" w14:textId="77777777" w:rsidR="00EC5D76" w:rsidRPr="004E6C24" w:rsidRDefault="00EC5D76" w:rsidP="00EC59EA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Характеристика</w:t>
            </w:r>
          </w:p>
          <w:p w14:paraId="1B371886" w14:textId="77777777" w:rsidR="00EC5D76" w:rsidRPr="004E6C24" w:rsidRDefault="00EC5D76" w:rsidP="00EC59EA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B49D4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49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037DE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Базовое значение</w:t>
            </w:r>
          </w:p>
        </w:tc>
        <w:tc>
          <w:tcPr>
            <w:tcW w:w="127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019BB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Значения мероприятия (результата) по годам</w:t>
            </w:r>
          </w:p>
        </w:tc>
      </w:tr>
      <w:tr w:rsidR="00BD7332" w:rsidRPr="004E6C24" w14:paraId="2C9ED0A2" w14:textId="77777777" w:rsidTr="00BD7332">
        <w:trPr>
          <w:trHeight w:hRule="exact" w:val="431"/>
          <w:jc w:val="center"/>
        </w:trPr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A849E4" w14:textId="77777777" w:rsidR="00EC5D76" w:rsidRPr="004E6C24" w:rsidRDefault="00EC5D76" w:rsidP="00EC59EA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27A4A5" w14:textId="77777777" w:rsidR="00EC5D76" w:rsidRPr="004E6C24" w:rsidRDefault="00EC5D76" w:rsidP="00EC59EA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E4083D" w14:textId="77777777" w:rsidR="00EC5D76" w:rsidRPr="004E6C24" w:rsidRDefault="00EC5D76" w:rsidP="00EC59EA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13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E1CCBC7" w14:textId="77777777" w:rsidR="00EC5D76" w:rsidRPr="004E6C24" w:rsidRDefault="00EC5D76" w:rsidP="00EC59EA">
            <w:pPr>
              <w:spacing w:line="256" w:lineRule="auto"/>
              <w:ind w:left="105" w:right="132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C24CF0" w14:textId="77777777" w:rsidR="00EC5D76" w:rsidRPr="004E6C24" w:rsidRDefault="00EC5D76" w:rsidP="00EC59EA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0E5D2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значение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1812A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год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68FA18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3569C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26C82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AA05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53D2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9145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</w:tr>
      <w:tr w:rsidR="00BD7332" w:rsidRPr="004E6C24" w14:paraId="051E1064" w14:textId="77777777" w:rsidTr="00BD7332">
        <w:trPr>
          <w:trHeight w:hRule="exact" w:val="274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B6AE1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40AC7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267AA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3D001B" w14:textId="77777777" w:rsidR="00EC5D76" w:rsidRPr="004E6C24" w:rsidRDefault="00EC5D76" w:rsidP="00EC59EA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3A140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1F331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F7344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9D292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3FF70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F4ED8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487AE0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9EDDE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B3004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13</w:t>
            </w:r>
          </w:p>
        </w:tc>
      </w:tr>
      <w:tr w:rsidR="00BD7332" w:rsidRPr="004E6C24" w14:paraId="365CB67C" w14:textId="77777777" w:rsidTr="00BD7332">
        <w:trPr>
          <w:trHeight w:val="554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126832" w14:textId="77777777" w:rsidR="00BD7332" w:rsidRDefault="00EC5D76" w:rsidP="00EC59EA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Создание условий для формирования новых социально ориентированных некоммерческих организаций (СОНКО) </w:t>
            </w:r>
          </w:p>
          <w:p w14:paraId="6D677E14" w14:textId="646E9336" w:rsidR="00EC5D76" w:rsidRPr="004E6C24" w:rsidRDefault="00EC5D76" w:rsidP="00EC59EA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 оказание организационно-консультационной поддержки некоммерческим организациям</w:t>
            </w:r>
          </w:p>
        </w:tc>
      </w:tr>
      <w:tr w:rsidR="00BD7332" w:rsidRPr="004E6C24" w14:paraId="21F34648" w14:textId="77777777" w:rsidTr="00BD7332">
        <w:trPr>
          <w:trHeight w:val="1351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D17835" w14:textId="60625BD0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FD55D6" w14:textId="77777777" w:rsidR="00EC5D76" w:rsidRPr="004E6C24" w:rsidRDefault="00EC5D76" w:rsidP="00BD7332">
            <w:pPr>
              <w:spacing w:line="256" w:lineRule="auto"/>
              <w:ind w:left="73" w:right="61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Организация и ведение реестра социально ориентированных некоммерческих организаций, которым оказывается поддержка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D2984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28DC12" w14:textId="77777777" w:rsidR="00EC5D76" w:rsidRPr="004E6C24" w:rsidRDefault="00EC5D76" w:rsidP="00EC59EA">
            <w:pPr>
              <w:spacing w:line="256" w:lineRule="auto"/>
              <w:ind w:left="105" w:right="13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Организация и ведение реестра социально ориентированных некоммерческих организаций, которым оказывается поддержка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8F772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Единиц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BF4F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20FE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A19FE" w14:textId="77777777" w:rsidR="00EC5D76" w:rsidRPr="004E6C24" w:rsidRDefault="00EC5D76" w:rsidP="00EC59EA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3FAC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814B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F45F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CB36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B74F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</w:tr>
      <w:tr w:rsidR="00BD7332" w:rsidRPr="004E6C24" w14:paraId="0821DCA4" w14:textId="77777777" w:rsidTr="00BD7332">
        <w:trPr>
          <w:trHeight w:hRule="exact" w:val="3121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CDBF91F" w14:textId="77777777" w:rsidR="00EC5D76" w:rsidRPr="004E6C24" w:rsidRDefault="00EC5D76" w:rsidP="00FC346D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F0E03E" w14:textId="77777777" w:rsidR="00EC5D76" w:rsidRPr="004E6C24" w:rsidRDefault="00EC5D76" w:rsidP="00BD7332">
            <w:pPr>
              <w:spacing w:line="256" w:lineRule="auto"/>
              <w:ind w:left="73" w:right="61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Освещение деятельности социально ориентированных некоммерческих организаций в сети Интернет в рубрике «общественные объединения» на сайте администрации города Свободного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CD79D6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BDCA57" w14:textId="77777777" w:rsidR="00EC5D76" w:rsidRPr="004E6C24" w:rsidRDefault="00EC5D76" w:rsidP="00EC59EA">
            <w:pPr>
              <w:spacing w:line="256" w:lineRule="auto"/>
              <w:ind w:left="105" w:right="13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Освещение деятельности социально ориентированных некоммерческих организаций в сети Интернет в рубрике «общественные объединения» на сайте администрации города Свободного</w:t>
            </w:r>
            <w:r>
              <w:rPr>
                <w:sz w:val="20"/>
                <w:lang w:eastAsia="en-US"/>
              </w:rPr>
              <w:t>:</w:t>
            </w:r>
            <w:r w:rsidRPr="004E6C24">
              <w:rPr>
                <w:sz w:val="20"/>
                <w:lang w:eastAsia="en-US"/>
              </w:rPr>
              <w:t xml:space="preserve"> не менее 3х публикаций в год информационных материалов в местных печатных СМИ и на официальном сайте администрации о деятельности СОНКО на территории муниципального образования «город Свободный»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082A3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498707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DCE171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57ED3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347BD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67F188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BF84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D1DAA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BEC89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</w:tr>
    </w:tbl>
    <w:p w14:paraId="161A3142" w14:textId="77777777" w:rsidR="00EC5D76" w:rsidRPr="004E6C24" w:rsidRDefault="00EC5D76" w:rsidP="00EC5D76">
      <w:pPr>
        <w:rPr>
          <w:rFonts w:eastAsia="Microsoft Sans Serif"/>
          <w:sz w:val="20"/>
          <w:lang w:bidi="ru-RU"/>
        </w:rPr>
      </w:pPr>
    </w:p>
    <w:p w14:paraId="05E074DE" w14:textId="77777777" w:rsidR="00EC5D76" w:rsidRPr="004E6C24" w:rsidRDefault="00EC5D76" w:rsidP="00EC5D76">
      <w:pPr>
        <w:rPr>
          <w:sz w:val="20"/>
        </w:rPr>
      </w:pPr>
      <w:r w:rsidRPr="004E6C24">
        <w:rPr>
          <w:sz w:val="20"/>
        </w:rPr>
        <w:br w:type="page"/>
      </w:r>
    </w:p>
    <w:p w14:paraId="0EF00B7E" w14:textId="77777777" w:rsidR="00EC5D76" w:rsidRPr="004E6C24" w:rsidRDefault="00EC5D76" w:rsidP="00EC5D76">
      <w:pPr>
        <w:pStyle w:val="a3"/>
        <w:widowControl w:val="0"/>
        <w:numPr>
          <w:ilvl w:val="0"/>
          <w:numId w:val="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Финансовое обеспечение комплекса процессных мероприятий</w:t>
      </w: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7"/>
        <w:gridCol w:w="850"/>
        <w:gridCol w:w="850"/>
        <w:gridCol w:w="995"/>
        <w:gridCol w:w="850"/>
        <w:gridCol w:w="850"/>
        <w:gridCol w:w="850"/>
        <w:gridCol w:w="814"/>
      </w:tblGrid>
      <w:tr w:rsidR="00EC5D76" w:rsidRPr="004E6C24" w14:paraId="09093B37" w14:textId="77777777" w:rsidTr="00EC59EA">
        <w:trPr>
          <w:jc w:val="center"/>
        </w:trPr>
        <w:tc>
          <w:tcPr>
            <w:tcW w:w="29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9F5A602" w14:textId="77777777" w:rsidR="00EC5D76" w:rsidRPr="004E6C24" w:rsidRDefault="00EC5D76" w:rsidP="00EC59EA">
            <w:pPr>
              <w:spacing w:line="256" w:lineRule="auto"/>
              <w:ind w:left="127" w:right="15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FEE6E4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EC5D76" w:rsidRPr="004E6C24" w14:paraId="35023597" w14:textId="77777777" w:rsidTr="00EC59EA">
        <w:trPr>
          <w:jc w:val="center"/>
        </w:trPr>
        <w:tc>
          <w:tcPr>
            <w:tcW w:w="29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3160E8" w14:textId="77777777" w:rsidR="00EC5D76" w:rsidRPr="004E6C24" w:rsidRDefault="00EC5D76" w:rsidP="00EC59EA">
            <w:pPr>
              <w:spacing w:line="256" w:lineRule="auto"/>
              <w:ind w:left="127" w:right="152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B5F796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8C1251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4B8672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15B0D4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D1A28A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F9654D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542F6C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Всего</w:t>
            </w:r>
          </w:p>
        </w:tc>
      </w:tr>
      <w:tr w:rsidR="00EC5D76" w:rsidRPr="004E6C24" w14:paraId="0D5924E9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0CEC104" w14:textId="77777777" w:rsidR="00EC5D76" w:rsidRPr="004E6C24" w:rsidRDefault="00EC5D76" w:rsidP="00EC59EA">
            <w:pPr>
              <w:spacing w:line="256" w:lineRule="auto"/>
              <w:ind w:left="127" w:right="15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6CF842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20DB3D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2BA347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C7BE437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7EEFF27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6BF47A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32D566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8</w:t>
            </w:r>
          </w:p>
        </w:tc>
      </w:tr>
      <w:tr w:rsidR="00EC5D76" w:rsidRPr="004E6C24" w14:paraId="712C9A82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FE9B08C" w14:textId="77777777" w:rsidR="00EC5D76" w:rsidRPr="004E6C24" w:rsidRDefault="00EC5D76" w:rsidP="00EC59EA">
            <w:pPr>
              <w:spacing w:line="256" w:lineRule="auto"/>
              <w:ind w:left="127" w:right="152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Комплекс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администрации»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326C3A7" w14:textId="77777777" w:rsidR="00EC5D76" w:rsidRPr="004E6C24" w:rsidRDefault="00EC5D76" w:rsidP="00EC59EA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Финансирование не требуется</w:t>
            </w:r>
          </w:p>
        </w:tc>
      </w:tr>
      <w:tr w:rsidR="00EC5D76" w:rsidRPr="004E6C24" w14:paraId="1A9535E8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73059F2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4F7885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736028A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E0C441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79C3B8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FA3C35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888D32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418E85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240AC96D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941CDE2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C8457A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C247C5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EC3C09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6BF712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642C3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3015EC0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69CAFA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273562A1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CDE1078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E2ABC6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88BDD4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8B5608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1453CE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83DB77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2B52D3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B95A70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548C18DF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6157EF9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1B4F10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59023F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5C1777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A106F1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3837A70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5FCD86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007C13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1B35E1E4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DA2FE34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0FEC68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913781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AF21F8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5AF975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C4CD72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AE65C5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27059E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42FF60EF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D279BAD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38C305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42824A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312A51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D53F9F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AA0CF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BC13AF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EFF4B7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1FF838CB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A3693F4" w14:textId="77777777" w:rsidR="00EC5D76" w:rsidRPr="004E6C24" w:rsidRDefault="00EC5D76" w:rsidP="00EC59EA">
            <w:pPr>
              <w:spacing w:line="256" w:lineRule="auto"/>
              <w:ind w:left="127" w:right="152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Организация и ведение реестра социально ориентированных некоммерческих организаций, которым оказывается поддержка» (всего), в том числе: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AD6DD64" w14:textId="77777777" w:rsidR="00EC5D76" w:rsidRPr="004E6C24" w:rsidRDefault="00EC5D76" w:rsidP="00EC59EA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Финансирование не требуется</w:t>
            </w:r>
          </w:p>
        </w:tc>
      </w:tr>
      <w:tr w:rsidR="00EC5D76" w:rsidRPr="004E6C24" w14:paraId="6A2C7543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0A79A24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8D11B1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909FEA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F7C163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66C9D30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FD6FB4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571A4A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3C6BC2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6C8B8961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69B706B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43493F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01DFF9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9E323E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9E59C9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8B5AAE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C6B102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256872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41A72818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0224081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D116ED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0D680C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0182FF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AF5A58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CDBCA6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6F0277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626982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07F88F17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4B9EF2B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C19254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BB7FAC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C1C399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1D9865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04359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8998B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EB52FD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21CA7DD2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5962C50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D2ED36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871D8B0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292947A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C57038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12F51D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F64AD35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45591E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63987FB3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0499849" w14:textId="77777777" w:rsidR="00EC5D76" w:rsidRPr="004E6C24" w:rsidRDefault="00EC5D76" w:rsidP="00EC59EA">
            <w:pPr>
              <w:spacing w:line="256" w:lineRule="auto"/>
              <w:ind w:left="127" w:right="152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Освещение деятельности социально ориентированных некоммерческих организаций в сети Интернет в рубрике «</w:t>
            </w:r>
            <w:r>
              <w:rPr>
                <w:b/>
                <w:bCs/>
                <w:sz w:val="20"/>
                <w:lang w:eastAsia="en-US"/>
              </w:rPr>
              <w:t>СОНКО</w:t>
            </w:r>
            <w:r w:rsidRPr="004E6C24">
              <w:rPr>
                <w:b/>
                <w:bCs/>
                <w:sz w:val="20"/>
                <w:lang w:eastAsia="en-US"/>
              </w:rPr>
              <w:t>» на сайте администрации города Свободного (всего), в том числе: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2640ECC" w14:textId="77777777" w:rsidR="00EC5D76" w:rsidRPr="004E6C24" w:rsidRDefault="00EC5D76" w:rsidP="00EC59EA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Финансирование не требуется</w:t>
            </w:r>
          </w:p>
        </w:tc>
      </w:tr>
      <w:tr w:rsidR="00EC5D76" w:rsidRPr="004E6C24" w14:paraId="4AC1DA38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C67DCD4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78F92F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A053757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528CDE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96F49A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D69F48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4D7670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697DB38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3983D163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9DD7F3F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16752C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3DE78C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8CD1D4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FE8E73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4FBDCB7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4F0BF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C8A87A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524AB0DC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1049F21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959787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870933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1CCF1EA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E69496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83161B0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7D673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AEC9CD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4359411F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66FDB50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C3D5B6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8E8B2B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21C318D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EA5D4BA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ADEA9A1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1E58F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647962E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5D602A4E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2241701" w14:textId="77777777" w:rsidR="00EC5D76" w:rsidRPr="004E6C24" w:rsidRDefault="00EC5D76" w:rsidP="00EC59EA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D936BE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B9FAEB9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7FECA52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4A480D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5EF4B6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82DDC6F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26E528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EC5D76" w:rsidRPr="004E6C24" w14:paraId="4A90C6AE" w14:textId="77777777" w:rsidTr="00EC59EA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D43CD73" w14:textId="77777777" w:rsidR="00EC5D76" w:rsidRPr="004E6C24" w:rsidRDefault="00EC5D76" w:rsidP="00EC59EA">
            <w:pPr>
              <w:spacing w:line="256" w:lineRule="auto"/>
              <w:ind w:left="127" w:right="152"/>
              <w:rPr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D2DA0D3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A7F95A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B9CB05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52695F6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453BE5C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BA878B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DEEBB34" w14:textId="77777777" w:rsidR="00EC5D76" w:rsidRPr="004E6C24" w:rsidRDefault="00EC5D76" w:rsidP="00EC59EA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</w:tbl>
    <w:p w14:paraId="2F22E6BD" w14:textId="77777777" w:rsidR="00EC5D76" w:rsidRPr="004E6C24" w:rsidRDefault="00EC5D76" w:rsidP="00EC5D76">
      <w:pPr>
        <w:pStyle w:val="a3"/>
        <w:jc w:val="center"/>
        <w:rPr>
          <w:b/>
          <w:bCs/>
          <w:szCs w:val="28"/>
        </w:rPr>
      </w:pPr>
    </w:p>
    <w:p w14:paraId="68FABF38" w14:textId="1CC0A314" w:rsidR="00EC5D76" w:rsidRDefault="00EC5D76" w:rsidP="00EC5D76">
      <w:pPr>
        <w:pStyle w:val="a3"/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 xml:space="preserve">6. План реализации комплекса процессных мероприятий в </w:t>
      </w:r>
      <w:r w:rsidR="00D11039">
        <w:rPr>
          <w:b/>
          <w:bCs/>
          <w:szCs w:val="28"/>
        </w:rPr>
        <w:t>2025</w:t>
      </w:r>
      <w:r w:rsidRPr="004E6C24">
        <w:rPr>
          <w:b/>
          <w:bCs/>
          <w:szCs w:val="28"/>
        </w:rPr>
        <w:t xml:space="preserve"> (отсутствует) </w:t>
      </w:r>
    </w:p>
    <w:p w14:paraId="253CFBF4" w14:textId="77777777" w:rsidR="00D11039" w:rsidRPr="004E6C24" w:rsidRDefault="00D11039" w:rsidP="00EC5D76">
      <w:pPr>
        <w:pStyle w:val="a3"/>
        <w:jc w:val="center"/>
        <w:rPr>
          <w:color w:val="000000"/>
          <w:szCs w:val="28"/>
        </w:rPr>
      </w:pPr>
    </w:p>
    <w:p w14:paraId="532AA5B9" w14:textId="1992B43C" w:rsidR="00246273" w:rsidRPr="00C8620F" w:rsidRDefault="00D11039" w:rsidP="00C8620F">
      <w:pPr>
        <w:pStyle w:val="a3"/>
        <w:jc w:val="center"/>
        <w:rPr>
          <w:color w:val="000000"/>
          <w:szCs w:val="28"/>
        </w:rPr>
      </w:pPr>
      <w:r w:rsidRPr="004E6C24">
        <w:rPr>
          <w:b/>
          <w:bCs/>
          <w:szCs w:val="28"/>
        </w:rPr>
        <w:t>6.</w:t>
      </w:r>
      <w:r>
        <w:rPr>
          <w:b/>
          <w:bCs/>
          <w:szCs w:val="28"/>
        </w:rPr>
        <w:t xml:space="preserve">1. </w:t>
      </w:r>
      <w:r w:rsidRPr="004E6C24">
        <w:rPr>
          <w:b/>
          <w:bCs/>
          <w:szCs w:val="28"/>
        </w:rPr>
        <w:t xml:space="preserve">План реализации комплекса процессных мероприятий в </w:t>
      </w:r>
      <w:r>
        <w:rPr>
          <w:b/>
          <w:bCs/>
          <w:szCs w:val="28"/>
        </w:rPr>
        <w:t>2026</w:t>
      </w:r>
      <w:r w:rsidRPr="004E6C24">
        <w:rPr>
          <w:b/>
          <w:bCs/>
          <w:szCs w:val="28"/>
        </w:rPr>
        <w:t xml:space="preserve"> (отсутствует) </w:t>
      </w:r>
    </w:p>
    <w:sectPr w:rsidR="00246273" w:rsidRPr="00C8620F" w:rsidSect="00D11039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73CEE"/>
    <w:multiLevelType w:val="hybridMultilevel"/>
    <w:tmpl w:val="3B8829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73"/>
    <w:rsid w:val="0022495A"/>
    <w:rsid w:val="00246273"/>
    <w:rsid w:val="00752F10"/>
    <w:rsid w:val="0082789C"/>
    <w:rsid w:val="00B82488"/>
    <w:rsid w:val="00BD7332"/>
    <w:rsid w:val="00C8620F"/>
    <w:rsid w:val="00D11039"/>
    <w:rsid w:val="00EC5D76"/>
    <w:rsid w:val="00FC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82823"/>
  <w15:chartTrackingRefBased/>
  <w15:docId w15:val="{0145C83E-3F18-4556-B25B-80ACDF32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76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D7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261B5-8A1B-4964-B1B6-4DA1480A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3</cp:revision>
  <dcterms:created xsi:type="dcterms:W3CDTF">2025-12-29T06:16:00Z</dcterms:created>
  <dcterms:modified xsi:type="dcterms:W3CDTF">2025-12-29T06:16:00Z</dcterms:modified>
</cp:coreProperties>
</file>